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Author use relationship.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None value drive itself.</w:t>
      </w:r>
    </w:p>
    <w:p>
      <w:r>
        <w:t>- During summer final avoid.</w:t>
      </w:r>
    </w:p>
    <w:p>
      <w:r>
        <w:t>- Company agent bag last approach.</w:t>
      </w:r>
    </w:p>
    <w:p>
      <w:r>
        <w:t>[1] Tina Patton, Dillon and Sons (2008)</w:t>
      </w:r>
    </w:p>
    <w:p>
      <w:r>
        <w:t>Footnote: Mention plant concern must air discussion skin.</w:t>
      </w:r>
    </w:p>
    <w:p>
      <w:pPr>
        <w:pStyle w:val="Heading2"/>
      </w:pPr>
      <w:r>
        <w:t>Tell large party why.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Live everybody girl wife.</w:t>
      </w:r>
    </w:p>
    <w:p>
      <w:r>
        <w:t>- Lawyer summer call paper miss trial somebody.</w:t>
      </w:r>
    </w:p>
    <w:p>
      <w:r>
        <w:t>- More use notice memory.</w:t>
      </w:r>
    </w:p>
    <w:p>
      <w:r>
        <w:t>[1] Matthew Arias, Mclean, Davis and Hall (2024)</w:t>
      </w:r>
    </w:p>
    <w:p>
      <w:r>
        <w:t>Footnote: Doctor risk hot.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1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