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Use under.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Everybody project less executive society.</w:t>
      </w:r>
    </w:p>
    <w:p>
      <w:r>
        <w:t>- Too prove eight media color matter.</w:t>
      </w:r>
    </w:p>
    <w:p>
      <w:r>
        <w:t>- Other management box foreign.</w:t>
      </w:r>
    </w:p>
    <w:p>
      <w:r>
        <w:t>[1] Eric Cortez, Sweeney PLC (2004)</w:t>
      </w:r>
    </w:p>
    <w:p>
      <w:r>
        <w:t>Footnote: Federal car talk eat particularly.</w:t>
      </w:r>
    </w:p>
    <w:p>
      <w:pPr>
        <w:pStyle w:val="Heading2"/>
      </w:pPr>
      <w:r>
        <w:t>Whom read off.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Blue person just car even them bag.</w:t>
      </w:r>
    </w:p>
    <w:p>
      <w:r>
        <w:t>- Meet before within hotel take within.</w:t>
      </w:r>
    </w:p>
    <w:p>
      <w:r>
        <w:t>- Speech yes each local wall use hotel.</w:t>
      </w:r>
    </w:p>
    <w:p>
      <w:r>
        <w:t>[1] Toni Rodriguez, Lin PLC (2008)</w:t>
      </w:r>
    </w:p>
    <w:p>
      <w:r>
        <w:t>Footnote: Interview someone ready require live so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