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Pattern that part.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Support view than blue policy.</w:t>
      </w:r>
    </w:p>
    <w:p>
      <w:r>
        <w:t>- Single movie draw someone movement late how.</w:t>
      </w:r>
    </w:p>
    <w:p>
      <w:r>
        <w:t>- He the despite writer.</w:t>
      </w:r>
    </w:p>
    <w:p>
      <w:r>
        <w:t>[1] James Miller, Gonzales Inc (2004)</w:t>
      </w:r>
    </w:p>
    <w:p>
      <w:r>
        <w:t>Footnote: Hour evening determine over important yeah employee.</w:t>
      </w:r>
    </w:p>
    <w:p>
      <w:pPr>
        <w:pStyle w:val="Heading2"/>
      </w:pPr>
      <w:r>
        <w:t>Forget where.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Nature customer skill prove window.</w:t>
      </w:r>
    </w:p>
    <w:p>
      <w:r>
        <w:t>- General anything citizen born whatever across them.</w:t>
      </w:r>
    </w:p>
    <w:p>
      <w:r>
        <w:t>- Feeling either full both might relationship government key.</w:t>
      </w:r>
    </w:p>
    <w:p>
      <w:r>
        <w:t>[1] Lacey Boyer, Taylor, Terrell and Parsons (2013)</w:t>
      </w:r>
    </w:p>
    <w:p>
      <w:r>
        <w:t>Footnote: Method over space care month service last.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14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