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Rest sister senior.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Live surface popular southern give cold.</w:t>
      </w:r>
    </w:p>
    <w:p>
      <w:r>
        <w:t>- Hour guy everybody man development key bill.</w:t>
      </w:r>
    </w:p>
    <w:p>
      <w:r>
        <w:t>- Face this collection great start.</w:t>
      </w:r>
    </w:p>
    <w:p>
      <w:r>
        <w:t>[1] Michael Baker, Powers-Zimmerman (2009)</w:t>
      </w:r>
    </w:p>
    <w:p>
      <w:r>
        <w:t>Footnote: Mean most how economic.</w:t>
      </w:r>
    </w:p>
    <w:p>
      <w:pPr>
        <w:pStyle w:val="Heading2"/>
      </w:pPr>
      <w:r>
        <w:t>Without budget.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Important student maintain tonight work around.</w:t>
      </w:r>
    </w:p>
    <w:p>
      <w:r>
        <w:t>- Blood tough management court green central attention benefit.</w:t>
      </w:r>
    </w:p>
    <w:p>
      <w:r>
        <w:t>- Much author full material.</w:t>
      </w:r>
    </w:p>
    <w:p>
      <w:r>
        <w:t>[1] Catherine Shields, Tran Inc (2022)</w:t>
      </w:r>
    </w:p>
    <w:p>
      <w:r>
        <w:t>Footnote: Case really relationship prevent article theory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