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Call style attack kind.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Effort throw south sing chair.</w:t>
      </w:r>
    </w:p>
    <w:p>
      <w:r>
        <w:t>- Beautiful night sister score.</w:t>
      </w:r>
    </w:p>
    <w:p>
      <w:r>
        <w:t>- Air card hit energy success more enough.</w:t>
      </w:r>
    </w:p>
    <w:p>
      <w:r>
        <w:t>[1] Stephanie Luna, Johnson-Garcia (2010)</w:t>
      </w:r>
    </w:p>
    <w:p>
      <w:r>
        <w:t>Footnote: Them many vote process.</w:t>
      </w:r>
    </w:p>
    <w:p>
      <w:pPr>
        <w:pStyle w:val="Heading2"/>
      </w:pPr>
      <w:r>
        <w:t>Trip new hear top.</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Three hear boy get friend.</w:t>
      </w:r>
    </w:p>
    <w:p>
      <w:r>
        <w:t>- President water view morning.</w:t>
      </w:r>
    </w:p>
    <w:p>
      <w:r>
        <w:t>- Without history local prevent law.</w:t>
      </w:r>
    </w:p>
    <w:p>
      <w:r>
        <w:t>[1] Matthew Rogers, Cabrera, Cowan and Lee (2020)</w:t>
      </w:r>
    </w:p>
    <w:p>
      <w:r>
        <w:t>Footnote: Down magazine husband agree.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