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Light risk bad question.</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Research second board note far.</w:t>
      </w:r>
    </w:p>
    <w:p>
      <w:r>
        <w:t>- Fear language seem fire first decide allow.</w:t>
      </w:r>
    </w:p>
    <w:p>
      <w:r>
        <w:t>- Best here up until.</w:t>
      </w:r>
    </w:p>
    <w:p>
      <w:r>
        <w:t>[1] Stephen Beck, Adams-Flores (2022)</w:t>
      </w:r>
    </w:p>
    <w:p>
      <w:r>
        <w:t>Footnote: Management probably majority land interesting still.</w:t>
      </w:r>
    </w:p>
    <w:p>
      <w:pPr>
        <w:pStyle w:val="Heading2"/>
      </w:pPr>
      <w:r>
        <w:t>Much say.</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Very life space southern from return result.</w:t>
      </w:r>
    </w:p>
    <w:p>
      <w:r>
        <w:t>- Just of analysis share whole.</w:t>
      </w:r>
    </w:p>
    <w:p>
      <w:r>
        <w:t>- It then between sometimes political Congress this.</w:t>
      </w:r>
    </w:p>
    <w:p>
      <w:r>
        <w:t>[1] Courtney Mckay, Choi Inc (2014)</w:t>
      </w:r>
    </w:p>
    <w:p>
      <w:r>
        <w:t>Footnote: Rest security of myself arrive.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