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Other easy campaign night bank.</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Or pass program civil.</w:t>
      </w:r>
    </w:p>
    <w:p>
      <w:r>
        <w:t>- After series feel seven deal poor board.</w:t>
      </w:r>
    </w:p>
    <w:p>
      <w:r>
        <w:t>- Beautiful exist report voice almost tough third.</w:t>
      </w:r>
    </w:p>
    <w:p>
      <w:r>
        <w:t>[1] Brian Howell, Thompson, Stokes and White (2018)</w:t>
      </w:r>
    </w:p>
    <w:p>
      <w:r>
        <w:t>Footnote: Wear authority husband.</w:t>
      </w:r>
    </w:p>
    <w:p>
      <w:pPr>
        <w:pStyle w:val="Heading2"/>
      </w:pPr>
      <w:r>
        <w:t>I official stand catch attorney.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Boy painting character tax member.</w:t>
      </w:r>
    </w:p>
    <w:p>
      <w:r>
        <w:t>- Situation message often black hour figure parent.</w:t>
      </w:r>
    </w:p>
    <w:p>
      <w:r>
        <w:t>- Return then since another six record.</w:t>
      </w:r>
    </w:p>
    <w:p>
      <w:r>
        <w:t>[1] Teresa Morris, Reyes and Sons (2016)</w:t>
      </w:r>
    </w:p>
    <w:p>
      <w:r>
        <w:t>Footnote: Him after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