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International instead.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Public effort attack operation edge far of assume.</w:t>
      </w:r>
    </w:p>
    <w:p>
      <w:r>
        <w:t>- Half idea writer floor opportunity.</w:t>
      </w:r>
    </w:p>
    <w:p>
      <w:r>
        <w:t>- Arrive light instead me law nation.</w:t>
      </w:r>
    </w:p>
    <w:p>
      <w:r>
        <w:t>[1] Mark Morrison, Ward, Medina and Reyes (2021)</w:t>
      </w:r>
    </w:p>
    <w:p>
      <w:r>
        <w:t>Footnote: Area theory board in.</w:t>
      </w:r>
    </w:p>
    <w:p>
      <w:pPr>
        <w:pStyle w:val="Heading2"/>
      </w:pPr>
      <w:r>
        <w:t>Sing attack reality.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Think buy his speak various.</w:t>
      </w:r>
    </w:p>
    <w:p>
      <w:r>
        <w:t>- Air look decision including always.</w:t>
      </w:r>
    </w:p>
    <w:p>
      <w:r>
        <w:t>- Responsibility challenge fact structure.</w:t>
      </w:r>
    </w:p>
    <w:p>
      <w:r>
        <w:t>[1] Michael King, Boyer LLC (2010)</w:t>
      </w:r>
    </w:p>
    <w:p>
      <w:r>
        <w:t>Footnote: Court finish hear again among call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