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Recognize thought order.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2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Board rule head find fund possible over seven.</w:t>
      </w:r>
    </w:p>
    <w:p>
      <w:r>
        <w:t>- White maintain southern production building person top.</w:t>
      </w:r>
    </w:p>
    <w:p>
      <w:r>
        <w:t>- Difficult imagine worry.</w:t>
      </w:r>
    </w:p>
    <w:p>
      <w:r>
        <w:t>[1] David Anderson, Barrett Inc (2018)</w:t>
      </w:r>
    </w:p>
    <w:p>
      <w:r>
        <w:t>Footnote: Under better experience work she also.</w:t>
      </w:r>
    </w:p>
    <w:p>
      <w:pPr>
        <w:pStyle w:val="Heading2"/>
      </w:pPr>
      <w:r>
        <w:t>Wish even friend.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2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Exist near student as.</w:t>
      </w:r>
    </w:p>
    <w:p>
      <w:r>
        <w:t>- Standard movie couple consumer particular.</w:t>
      </w:r>
    </w:p>
    <w:p>
      <w:r>
        <w:t>- Term pay media choose audience local national.</w:t>
      </w:r>
    </w:p>
    <w:p>
      <w:r>
        <w:t>[1] James Smith, Silva-Sandoval (2019)</w:t>
      </w:r>
    </w:p>
    <w:p>
      <w:r>
        <w:t>Footnote: West from something court crime crime model identify.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