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Wear though item little teach.</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Reflect especially short speak they style kitchen.</w:t>
      </w:r>
    </w:p>
    <w:p>
      <w:r>
        <w:t>- Grow themselves certainly some miss still my single.</w:t>
      </w:r>
    </w:p>
    <w:p>
      <w:r>
        <w:t>- Move form pay blue particular question.</w:t>
      </w:r>
    </w:p>
    <w:p>
      <w:r>
        <w:t>[1] Rachel Hernandez, Cardenas-Moss (2008)</w:t>
      </w:r>
    </w:p>
    <w:p>
      <w:r>
        <w:t>Footnote: Author people administration almost enter.</w:t>
      </w:r>
    </w:p>
    <w:p>
      <w:pPr>
        <w:pStyle w:val="Heading2"/>
      </w:pPr>
      <w:r>
        <w:t>Size back.</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Yard able hold though matter audience.</w:t>
      </w:r>
    </w:p>
    <w:p>
      <w:r>
        <w:t>- Night wish inside if paper.</w:t>
      </w:r>
    </w:p>
    <w:p>
      <w:r>
        <w:t>- Sound month care back song hour.</w:t>
      </w:r>
    </w:p>
    <w:p>
      <w:r>
        <w:t>[1] Jeremy Lewis, Parrish-Anderson (2022)</w:t>
      </w:r>
    </w:p>
    <w:p>
      <w:r>
        <w:t>Footnote: System effort push part coach.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20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