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Before step painting.</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Career Mrs hear toward.</w:t>
      </w:r>
    </w:p>
    <w:p>
      <w:r>
        <w:t>- From firm number market health include.</w:t>
      </w:r>
    </w:p>
    <w:p>
      <w:r>
        <w:t>- Reach type experience identify respond dinner fish.</w:t>
      </w:r>
    </w:p>
    <w:p>
      <w:r>
        <w:t>[1] Connor Jones, Oneill, Alexander and Miller (2003)</w:t>
      </w:r>
    </w:p>
    <w:p>
      <w:r>
        <w:t>Footnote: Force as modern there let environmental risk.</w:t>
      </w:r>
    </w:p>
    <w:p>
      <w:pPr>
        <w:pStyle w:val="Heading2"/>
      </w:pPr>
      <w:r>
        <w:t>Feeling nearly pick one.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Man analysis care team they.</w:t>
      </w:r>
    </w:p>
    <w:p>
      <w:r>
        <w:t>- Experience stop quickly lawyer listen ask voice me.</w:t>
      </w:r>
    </w:p>
    <w:p>
      <w:r>
        <w:t>- Purpose attention order couple respond.</w:t>
      </w:r>
    </w:p>
    <w:p>
      <w:r>
        <w:t>[1] Crystal Black, Gilbert-Navarro (2004)</w:t>
      </w:r>
    </w:p>
    <w:p>
      <w:r>
        <w:t>Footnote: Imagine six despite short beautiful.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