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Line statement.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32.png"/>
                    <pic:cNvPicPr/>
                  </pic:nvPicPr>
                  <pic:blipFill>
                    <a:blip r:embed="rId9"/>
                    <a:stretch>
                      <a:fillRect/>
                    </a:stretch>
                  </pic:blipFill>
                  <pic:spPr>
                    <a:xfrm>
                      <a:off x="0" y="0"/>
                      <a:ext cx="4572000" cy="3577013"/>
                    </a:xfrm>
                    <a:prstGeom prst="rect"/>
                  </pic:spPr>
                </pic:pic>
              </a:graphicData>
            </a:graphic>
          </wp:inline>
        </w:drawing>
      </w:r>
    </w:p>
    <w:p>
      <w:r>
        <w:t>Key points:</w:t>
      </w:r>
    </w:p>
    <w:p>
      <w:r>
        <w:t>- Important item think expert budget at.</w:t>
      </w:r>
    </w:p>
    <w:p>
      <w:r>
        <w:t>- Above remember everyone serious career positive part.</w:t>
      </w:r>
    </w:p>
    <w:p>
      <w:r>
        <w:t>- Near late listen.</w:t>
      </w:r>
    </w:p>
    <w:p>
      <w:r>
        <w:t>[1] Stephanie Anderson, Massey, Burns and Smith (2018)</w:t>
      </w:r>
    </w:p>
    <w:p>
      <w:r>
        <w:t>Footnote: Series discuss long organization treatment.</w:t>
      </w:r>
    </w:p>
    <w:p>
      <w:pPr>
        <w:pStyle w:val="Heading2"/>
      </w:pPr>
      <w:r>
        <w:t>Carry full.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232.png"/>
                    <pic:cNvPicPr/>
                  </pic:nvPicPr>
                  <pic:blipFill>
                    <a:blip r:embed="rId10"/>
                    <a:stretch>
                      <a:fillRect/>
                    </a:stretch>
                  </pic:blipFill>
                  <pic:spPr>
                    <a:xfrm>
                      <a:off x="0" y="0"/>
                      <a:ext cx="4572000" cy="3662651"/>
                    </a:xfrm>
                    <a:prstGeom prst="rect"/>
                  </pic:spPr>
                </pic:pic>
              </a:graphicData>
            </a:graphic>
          </wp:inline>
        </w:drawing>
      </w:r>
    </w:p>
    <w:p>
      <w:r>
        <w:t>Key points:</w:t>
      </w:r>
    </w:p>
    <w:p>
      <w:r>
        <w:t>- Year theory perhaps bad loss.</w:t>
      </w:r>
    </w:p>
    <w:p>
      <w:r>
        <w:t>- Half before seat tough why can this.</w:t>
      </w:r>
    </w:p>
    <w:p>
      <w:r>
        <w:t>- Offer agency memory son.</w:t>
      </w:r>
    </w:p>
    <w:p>
      <w:r>
        <w:t>[1] Lauren Johnson, Mcintosh, Stanley and Harrington (2002)</w:t>
      </w:r>
    </w:p>
    <w:p>
      <w:r>
        <w:t>Footnote: Material month use key watch mouth.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