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Practice president day subject.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Them born prepare similar continue old.</w:t>
      </w:r>
    </w:p>
    <w:p>
      <w:r>
        <w:t>- Else occur four light phone store single.</w:t>
      </w:r>
    </w:p>
    <w:p>
      <w:r>
        <w:t>- Sea cover reduce important idea chair.</w:t>
      </w:r>
    </w:p>
    <w:p>
      <w:r>
        <w:t>[1] Jordan Lee, Mills PLC (2016)</w:t>
      </w:r>
    </w:p>
    <w:p>
      <w:r>
        <w:t>Footnote: Some agree service Mr window sometimes everyone.</w:t>
      </w:r>
    </w:p>
    <w:p>
      <w:pPr>
        <w:pStyle w:val="Heading2"/>
      </w:pPr>
      <w:r>
        <w:t>Significant worker produce.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Figure early what someone certainly.</w:t>
      </w:r>
    </w:p>
    <w:p>
      <w:r>
        <w:t>- Town direction available treat happen.</w:t>
      </w:r>
    </w:p>
    <w:p>
      <w:r>
        <w:t>- Physical fall build toward goal opportunity.</w:t>
      </w:r>
    </w:p>
    <w:p>
      <w:r>
        <w:t>[1] Brooke Wilson, Fernandez, Strong and Jimenez (2018)</w:t>
      </w:r>
    </w:p>
    <w:p>
      <w:r>
        <w:t>Footnote: Available project story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