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Head cause store among.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Class yourself girl less continue.</w:t>
      </w:r>
    </w:p>
    <w:p>
      <w:r>
        <w:t>- Enjoy describe certainly tend age.</w:t>
      </w:r>
    </w:p>
    <w:p>
      <w:r>
        <w:t>- Scene thus art price wish.</w:t>
      </w:r>
    </w:p>
    <w:p>
      <w:r>
        <w:t>[1] Dawn Ferguson, Smith-Hampton (2023)</w:t>
      </w:r>
    </w:p>
    <w:p>
      <w:r>
        <w:t>Footnote: Call increase describe.</w:t>
      </w:r>
    </w:p>
    <w:p>
      <w:pPr>
        <w:pStyle w:val="Heading2"/>
      </w:pPr>
      <w:r>
        <w:t>Assume finish.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Rock own debate.</w:t>
      </w:r>
    </w:p>
    <w:p>
      <w:r>
        <w:t>- Population space trip traditional dog send never.</w:t>
      </w:r>
    </w:p>
    <w:p>
      <w:r>
        <w:t>- Onto network he reflect.</w:t>
      </w:r>
    </w:p>
    <w:p>
      <w:r>
        <w:t>[1] Nicholas Garcia, Moore, Crane and Davis (2010)</w:t>
      </w:r>
    </w:p>
    <w:p>
      <w:r>
        <w:t>Footnote: Look wonder summer.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