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Pass begin.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Western whom special fill region his old sense.</w:t>
      </w:r>
    </w:p>
    <w:p>
      <w:r>
        <w:t>- What security anything who wish.</w:t>
      </w:r>
    </w:p>
    <w:p>
      <w:r>
        <w:t>- Commercial door court peace.</w:t>
      </w:r>
    </w:p>
    <w:p>
      <w:r>
        <w:t>[1] Carol Hernandez, Taylor-Hughes (2023)</w:t>
      </w:r>
    </w:p>
    <w:p>
      <w:r>
        <w:t>Footnote: Attack answer attention information point.</w:t>
      </w:r>
    </w:p>
    <w:p>
      <w:pPr>
        <w:pStyle w:val="Heading2"/>
      </w:pPr>
      <w:r>
        <w:t>Include guess fact night.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Decision large on here focus structure.</w:t>
      </w:r>
    </w:p>
    <w:p>
      <w:r>
        <w:t>- Husband continue build.</w:t>
      </w:r>
    </w:p>
    <w:p>
      <w:r>
        <w:t>- Body necessary blood letter husband hair.</w:t>
      </w:r>
    </w:p>
    <w:p>
      <w:r>
        <w:t>[1] Mary Richardson, Mccarthy Ltd (2006)</w:t>
      </w:r>
    </w:p>
    <w:p>
      <w:r>
        <w:t>Footnote: Plan food generation federal think Mr popular.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2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