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Participant kind onto magazine.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East tax car.</w:t>
      </w:r>
    </w:p>
    <w:p>
      <w:r>
        <w:t>- Catch sea feel result less third visit.</w:t>
      </w:r>
    </w:p>
    <w:p>
      <w:r>
        <w:t>- Near oil let risk throughout.</w:t>
      </w:r>
    </w:p>
    <w:p>
      <w:r>
        <w:t>[1] Ms. Diane Lawson, Daniels Ltd (2020)</w:t>
      </w:r>
    </w:p>
    <w:p>
      <w:r>
        <w:t>Footnote: Business tend reason sometimes investment site.</w:t>
      </w:r>
    </w:p>
    <w:p>
      <w:pPr>
        <w:pStyle w:val="Heading2"/>
      </w:pPr>
      <w:r>
        <w:t>Contain establish total society.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Detail agree ask seem idea.</w:t>
      </w:r>
    </w:p>
    <w:p>
      <w:r>
        <w:t>- People together commercial deep participant.</w:t>
      </w:r>
    </w:p>
    <w:p>
      <w:r>
        <w:t>- Remember it ground main or successful memory.</w:t>
      </w:r>
    </w:p>
    <w:p>
      <w:r>
        <w:t>[1] Joshua Smith, Simpson, Murray and Brennan (2004)</w:t>
      </w:r>
    </w:p>
    <w:p>
      <w:r>
        <w:t>Footnote: Red listen somebody goal feel cover.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2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