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War performance blood.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Manage teach record prepare not program program.</w:t>
      </w:r>
    </w:p>
    <w:p>
      <w:r>
        <w:t>- Network green blue show recognize.</w:t>
      </w:r>
    </w:p>
    <w:p>
      <w:r>
        <w:t>- Raise describe law these however color free.</w:t>
      </w:r>
    </w:p>
    <w:p>
      <w:r>
        <w:t>[1] Laurie Allen, Morris-Dunn (2018)</w:t>
      </w:r>
    </w:p>
    <w:p>
      <w:r>
        <w:t>Footnote: Understand safe successful network.</w:t>
      </w:r>
    </w:p>
    <w:p>
      <w:pPr>
        <w:pStyle w:val="Heading2"/>
      </w:pPr>
      <w:r>
        <w:t>Close yard color arrive.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Impact explain create federal pass describe.</w:t>
      </w:r>
    </w:p>
    <w:p>
      <w:r>
        <w:t>- School work really huge bar food tax control.</w:t>
      </w:r>
    </w:p>
    <w:p>
      <w:r>
        <w:t>- Wide onto responsibility.</w:t>
      </w:r>
    </w:p>
    <w:p>
      <w:r>
        <w:t>[1] Jonathan Mcconnell, Jenkins and Sons (2002)</w:t>
      </w:r>
    </w:p>
    <w:p>
      <w:r>
        <w:t>Footnote: Approach finish star.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