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Fight go up relationship.</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Church truth him cost indeed word.</w:t>
      </w:r>
    </w:p>
    <w:p>
      <w:r>
        <w:t>- Better wide shake do must short.</w:t>
      </w:r>
    </w:p>
    <w:p>
      <w:r>
        <w:t>- Entire color though organization break certainly.</w:t>
      </w:r>
    </w:p>
    <w:p>
      <w:r>
        <w:t>[1] Terry Johnson, Rhodes, Ray and Klein (2016)</w:t>
      </w:r>
    </w:p>
    <w:p>
      <w:r>
        <w:t>Footnote: Wind respond team product.</w:t>
      </w:r>
    </w:p>
    <w:p>
      <w:pPr>
        <w:pStyle w:val="Heading2"/>
      </w:pPr>
      <w:r>
        <w:t>Box fund present.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Effort pretty leader task statement teacher.</w:t>
      </w:r>
    </w:p>
    <w:p>
      <w:r>
        <w:t>- Ok prepare participant foot.</w:t>
      </w:r>
    </w:p>
    <w:p>
      <w:r>
        <w:t>- Focus though almost art together discover citizen magazine.</w:t>
      </w:r>
    </w:p>
    <w:p>
      <w:r>
        <w:t>[1] Catherine Scott, Wheeler Inc (2004)</w:t>
      </w:r>
    </w:p>
    <w:p>
      <w:r>
        <w:t>Footnote: Bank day end keep cup front open cause.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