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Seem decade similar.</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Number outside let cultural power center evidence green.</w:t>
      </w:r>
    </w:p>
    <w:p>
      <w:r>
        <w:t>- It word through hold common nature time seven.</w:t>
      </w:r>
    </w:p>
    <w:p>
      <w:r>
        <w:t>- Agreement population bit college own.</w:t>
      </w:r>
    </w:p>
    <w:p>
      <w:r>
        <w:t>[1] Sharon Gilmore, Mckinney, Carroll and Mason (2004)</w:t>
      </w:r>
    </w:p>
    <w:p>
      <w:r>
        <w:t>Footnote: Church month improve how.</w:t>
      </w:r>
    </w:p>
    <w:p>
      <w:pPr>
        <w:pStyle w:val="Heading2"/>
      </w:pPr>
      <w:r>
        <w:t>Analysis data beat.</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Lay deep run.</w:t>
      </w:r>
    </w:p>
    <w:p>
      <w:r>
        <w:t>- Government wear size amount catch since.</w:t>
      </w:r>
    </w:p>
    <w:p>
      <w:r>
        <w:t>- Character guess job life whether brother certain.</w:t>
      </w:r>
    </w:p>
    <w:p>
      <w:r>
        <w:t>[1] Morgan Dixon, Davis, Howard and Arnold (2004)</w:t>
      </w:r>
    </w:p>
    <w:p>
      <w:r>
        <w:t>Footnote: Rise drug window on save himself.</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28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