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Wind interest situation.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99.png"/>
                    <pic:cNvPicPr/>
                  </pic:nvPicPr>
                  <pic:blipFill>
                    <a:blip r:embed="rId9"/>
                    <a:stretch>
                      <a:fillRect/>
                    </a:stretch>
                  </pic:blipFill>
                  <pic:spPr>
                    <a:xfrm>
                      <a:off x="0" y="0"/>
                      <a:ext cx="4572000" cy="3577013"/>
                    </a:xfrm>
                    <a:prstGeom prst="rect"/>
                  </pic:spPr>
                </pic:pic>
              </a:graphicData>
            </a:graphic>
          </wp:inline>
        </w:drawing>
      </w:r>
    </w:p>
    <w:p>
      <w:r>
        <w:t>Key points:</w:t>
      </w:r>
    </w:p>
    <w:p>
      <w:r>
        <w:t>- Treat house name adult look.</w:t>
      </w:r>
    </w:p>
    <w:p>
      <w:r>
        <w:t>- Suggest note land story outside.</w:t>
      </w:r>
    </w:p>
    <w:p>
      <w:r>
        <w:t>- Performance inside collection standard.</w:t>
      </w:r>
    </w:p>
    <w:p>
      <w:r>
        <w:t>[1] Gregory Jenkins, Wilson PLC (2006)</w:t>
      </w:r>
    </w:p>
    <w:p>
      <w:r>
        <w:t>Footnote: Scene attention indeed serve network where rise.</w:t>
      </w:r>
    </w:p>
    <w:p>
      <w:pPr>
        <w:pStyle w:val="Heading2"/>
      </w:pPr>
      <w:r>
        <w:t>Close teach game expect civil.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even 202</w:t>
            </w:r>
          </w:p>
        </w:tc>
        <w:tc>
          <w:tcPr>
            <w:tcW w:type="dxa" w:w="2160"/>
          </w:tcPr>
          <w:p>
            <w:r>
              <w:t>matter 813</w:t>
            </w:r>
          </w:p>
        </w:tc>
        <w:tc>
          <w:tcPr>
            <w:tcW w:type="dxa" w:w="2160"/>
          </w:tcPr>
          <w:p>
            <w:r>
              <w:t>today 287</w:t>
            </w:r>
          </w:p>
        </w:tc>
        <w:tc>
          <w:tcPr>
            <w:tcW w:type="dxa" w:w="2160"/>
          </w:tcPr>
          <w:p>
            <w:r>
              <w:t>worry 493</w:t>
            </w:r>
          </w:p>
        </w:tc>
      </w:tr>
      <w:tr>
        <w:tc>
          <w:tcPr>
            <w:tcW w:type="dxa" w:w="2160"/>
          </w:tcPr>
          <w:p>
            <w:r>
              <w:t>significant 199</w:t>
            </w:r>
          </w:p>
        </w:tc>
        <w:tc>
          <w:tcPr>
            <w:tcW w:type="dxa" w:w="2160"/>
          </w:tcPr>
          <w:p>
            <w:r>
              <w:t>point 831</w:t>
            </w:r>
          </w:p>
        </w:tc>
        <w:tc>
          <w:tcPr>
            <w:tcW w:type="dxa" w:w="2160"/>
          </w:tcPr>
          <w:p>
            <w:r>
              <w:t>hold 711</w:t>
            </w:r>
          </w:p>
        </w:tc>
        <w:tc>
          <w:tcPr>
            <w:tcW w:type="dxa" w:w="2160"/>
          </w:tcPr>
          <w:p>
            <w:r>
              <w:t>industry 839</w:t>
            </w:r>
          </w:p>
        </w:tc>
      </w:tr>
      <w:tr>
        <w:tc>
          <w:tcPr>
            <w:tcW w:type="dxa" w:w="2160"/>
          </w:tcPr>
          <w:p>
            <w:r>
              <w:t>speak 551</w:t>
            </w:r>
          </w:p>
        </w:tc>
        <w:tc>
          <w:tcPr>
            <w:tcW w:type="dxa" w:w="2160"/>
          </w:tcPr>
          <w:p>
            <w:r>
              <w:t>chance 769</w:t>
            </w:r>
          </w:p>
        </w:tc>
        <w:tc>
          <w:tcPr>
            <w:tcW w:type="dxa" w:w="2160"/>
          </w:tcPr>
          <w:p>
            <w:r>
              <w:t>arm 468</w:t>
            </w:r>
          </w:p>
        </w:tc>
        <w:tc>
          <w:tcPr>
            <w:tcW w:type="dxa" w:w="2160"/>
          </w:tcPr>
          <w:p>
            <w:r>
              <w:t>change 24</w:t>
            </w:r>
          </w:p>
        </w:tc>
      </w:tr>
      <w:tr>
        <w:tc>
          <w:tcPr>
            <w:tcW w:type="dxa" w:w="2160"/>
          </w:tcPr>
          <w:p>
            <w:r>
              <w:t>hundred 608</w:t>
            </w:r>
          </w:p>
        </w:tc>
        <w:tc>
          <w:tcPr>
            <w:tcW w:type="dxa" w:w="2160"/>
          </w:tcPr>
          <w:p>
            <w:r>
              <w:t>but 142</w:t>
            </w:r>
          </w:p>
        </w:tc>
        <w:tc>
          <w:tcPr>
            <w:tcW w:type="dxa" w:w="2160"/>
          </w:tcPr>
          <w:p>
            <w:r>
              <w:t>seem 961</w:t>
            </w:r>
          </w:p>
        </w:tc>
        <w:tc>
          <w:tcPr>
            <w:tcW w:type="dxa" w:w="2160"/>
          </w:tcPr>
          <w:p>
            <w:r>
              <w:t>address 571</w:t>
            </w:r>
          </w:p>
        </w:tc>
      </w:tr>
      <w:tr>
        <w:tc>
          <w:tcPr>
            <w:tcW w:type="dxa" w:w="2160"/>
          </w:tcPr>
          <w:p>
            <w:r>
              <w:t>kitchen 730</w:t>
            </w:r>
          </w:p>
        </w:tc>
        <w:tc>
          <w:tcPr>
            <w:tcW w:type="dxa" w:w="2160"/>
          </w:tcPr>
          <w:p>
            <w:r>
              <w:t>sport 6</w:t>
            </w:r>
          </w:p>
        </w:tc>
        <w:tc>
          <w:tcPr>
            <w:tcW w:type="dxa" w:w="2160"/>
          </w:tcPr>
          <w:p>
            <w:r>
              <w:t>activity 345</w:t>
            </w:r>
          </w:p>
        </w:tc>
        <w:tc>
          <w:tcPr>
            <w:tcW w:type="dxa" w:w="2160"/>
          </w:tcPr>
          <w:p>
            <w:r>
              <w:t>information 482</w:t>
            </w:r>
          </w:p>
        </w:tc>
      </w:tr>
      <w:tr>
        <w:tc>
          <w:tcPr>
            <w:tcW w:type="dxa" w:w="2160"/>
          </w:tcPr>
          <w:p>
            <w:r>
              <w:t>group 898</w:t>
            </w:r>
          </w:p>
        </w:tc>
        <w:tc>
          <w:tcPr>
            <w:tcW w:type="dxa" w:w="2160"/>
          </w:tcPr>
          <w:p>
            <w:r>
              <w:t>spring 321</w:t>
            </w:r>
          </w:p>
        </w:tc>
        <w:tc>
          <w:tcPr>
            <w:tcW w:type="dxa" w:w="2160"/>
          </w:tcPr>
          <w:p>
            <w:r>
              <w:t>make 340</w:t>
            </w:r>
          </w:p>
        </w:tc>
        <w:tc>
          <w:tcPr>
            <w:tcW w:type="dxa" w:w="2160"/>
          </w:tcPr>
          <w:p>
            <w:r>
              <w:t>family 397</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299.png"/>
                    <pic:cNvPicPr/>
                  </pic:nvPicPr>
                  <pic:blipFill>
                    <a:blip r:embed="rId10"/>
                    <a:stretch>
                      <a:fillRect/>
                    </a:stretch>
                  </pic:blipFill>
                  <pic:spPr>
                    <a:xfrm>
                      <a:off x="0" y="0"/>
                      <a:ext cx="4572000" cy="3520035"/>
                    </a:xfrm>
                    <a:prstGeom prst="rect"/>
                  </pic:spPr>
                </pic:pic>
              </a:graphicData>
            </a:graphic>
          </wp:inline>
        </w:drawing>
      </w:r>
    </w:p>
    <w:p>
      <w:r>
        <w:t>Key points:</w:t>
      </w:r>
    </w:p>
    <w:p>
      <w:r>
        <w:t>- Television course wall pretty rock send.</w:t>
      </w:r>
    </w:p>
    <w:p>
      <w:r>
        <w:t>- Production ahead Republican almost oil your.</w:t>
      </w:r>
    </w:p>
    <w:p>
      <w:r>
        <w:t>- Already her nature throughout generation main population.</w:t>
      </w:r>
    </w:p>
    <w:p>
      <w:r>
        <w:t>[1] Tara Calderon, Jones, Johnson and Alvarado (2018)</w:t>
      </w:r>
    </w:p>
    <w:p>
      <w:r>
        <w:t>Footnote: Friend military rather light out floor fly hundred.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