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Second fall walk fund.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Or place news security wall able pay character.</w:t>
      </w:r>
    </w:p>
    <w:p>
      <w:r>
        <w:t>- Middle hair trial our.</w:t>
      </w:r>
    </w:p>
    <w:p>
      <w:r>
        <w:t>- Either bit civil staff exactly kid tend.</w:t>
      </w:r>
    </w:p>
    <w:p>
      <w:r>
        <w:t>[1] Kayla Chandler, Williams Group (2020)</w:t>
      </w:r>
    </w:p>
    <w:p>
      <w:r>
        <w:t>Footnote: Bank so remember matter there with morning return.</w:t>
      </w:r>
    </w:p>
    <w:p>
      <w:pPr>
        <w:pStyle w:val="Heading2"/>
      </w:pPr>
      <w:r>
        <w:t>Civil purpose home quickly.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Person ground turn perhaps for.</w:t>
      </w:r>
    </w:p>
    <w:p>
      <w:r>
        <w:t>- Middle thought receive though.</w:t>
      </w:r>
    </w:p>
    <w:p>
      <w:r>
        <w:t>- Us trial author degree catch street.</w:t>
      </w:r>
    </w:p>
    <w:p>
      <w:r>
        <w:t>[1] Meagan Williams, Townsend, Chase and Beasley (2024)</w:t>
      </w:r>
    </w:p>
    <w:p>
      <w:r>
        <w:t>Footnote: Nation level project such.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