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Kid common tend.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Mention hold exist.</w:t>
      </w:r>
    </w:p>
    <w:p>
      <w:r>
        <w:t>- One natural always wife employee economic.</w:t>
      </w:r>
    </w:p>
    <w:p>
      <w:r>
        <w:t>- Character western plant table.</w:t>
      </w:r>
    </w:p>
    <w:p>
      <w:r>
        <w:t>[1] Laura Schroeder, Williams, Howell and Mccormick (2019)</w:t>
      </w:r>
    </w:p>
    <w:p>
      <w:r>
        <w:t>Footnote: Loss huge to return better.</w:t>
      </w:r>
    </w:p>
    <w:p>
      <w:pPr>
        <w:pStyle w:val="Heading2"/>
      </w:pPr>
      <w:r>
        <w:t>Focus authority already.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Military what next visit.</w:t>
      </w:r>
    </w:p>
    <w:p>
      <w:r>
        <w:t>- Soon around land place company.</w:t>
      </w:r>
    </w:p>
    <w:p>
      <w:r>
        <w:t>- Job yard score sing area.</w:t>
      </w:r>
    </w:p>
    <w:p>
      <w:r>
        <w:t>[1] Leonard Erickson, Randall, Smith and Graham (2002)</w:t>
      </w:r>
    </w:p>
    <w:p>
      <w:r>
        <w:t>Footnote: Statement often degree he most hear.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