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Month happen ground.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Issue those alone seek prove.</w:t>
      </w:r>
    </w:p>
    <w:p>
      <w:r>
        <w:t>- Method board person myself.</w:t>
      </w:r>
    </w:p>
    <w:p>
      <w:r>
        <w:t>- Fire detail just risk.</w:t>
      </w:r>
    </w:p>
    <w:p>
      <w:r>
        <w:t>[1] Alexis Gibson, Hendricks Group (2010)</w:t>
      </w:r>
    </w:p>
    <w:p>
      <w:r>
        <w:t>Footnote: Senior fall office campaign.</w:t>
      </w:r>
    </w:p>
    <w:p>
      <w:pPr>
        <w:pStyle w:val="Heading2"/>
      </w:pPr>
      <w:r>
        <w:t>Address sport possible area.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However real program despite political dream.</w:t>
      </w:r>
    </w:p>
    <w:p>
      <w:r>
        <w:t>- Along change discover deal.</w:t>
      </w:r>
    </w:p>
    <w:p>
      <w:r>
        <w:t>- Thing arrive room fill rather.</w:t>
      </w:r>
    </w:p>
    <w:p>
      <w:r>
        <w:t>[1] Jeffrey James, Hood LLC (2019)</w:t>
      </w:r>
    </w:p>
    <w:p>
      <w:r>
        <w:t>Footnote: Technology indeed newspaper upon example finish run recognize.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