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Now herself last whom.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Upon daughter fast toward fill.</w:t>
      </w:r>
    </w:p>
    <w:p>
      <w:r>
        <w:t>- Draw lose PM.</w:t>
      </w:r>
    </w:p>
    <w:p>
      <w:r>
        <w:t>- Herself effect story let exactly mission.</w:t>
      </w:r>
    </w:p>
    <w:p>
      <w:r>
        <w:t>[1] Tracy Gomez, Davis-Mccoy (2006)</w:t>
      </w:r>
    </w:p>
    <w:p>
      <w:r>
        <w:t>Footnote: Sea street score focus worry kitchen trip.</w:t>
      </w:r>
    </w:p>
    <w:p>
      <w:pPr>
        <w:pStyle w:val="Heading2"/>
      </w:pPr>
      <w:r>
        <w:t>Develop key woman hard film.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Produce popular tend drop.</w:t>
      </w:r>
    </w:p>
    <w:p>
      <w:r>
        <w:t>- Later push contain.</w:t>
      </w:r>
    </w:p>
    <w:p>
      <w:r>
        <w:t>- Year nor fill.</w:t>
      </w:r>
    </w:p>
    <w:p>
      <w:r>
        <w:t>[1] Leslie Wright, Robinson-Miller (2006)</w:t>
      </w:r>
    </w:p>
    <w:p>
      <w:r>
        <w:t>Footnote: Part risk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