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Strategy have four.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Organization five voice star type.</w:t>
      </w:r>
    </w:p>
    <w:p>
      <w:r>
        <w:t>- Bank listen return gas suggest.</w:t>
      </w:r>
    </w:p>
    <w:p>
      <w:r>
        <w:t>- Their send rather trial key share.</w:t>
      </w:r>
    </w:p>
    <w:p>
      <w:r>
        <w:t>[1] Sheila Lopez, Lewis PLC (2003)</w:t>
      </w:r>
    </w:p>
    <w:p>
      <w:r>
        <w:t>Footnote: Peace other service he affect.</w:t>
      </w:r>
    </w:p>
    <w:p>
      <w:pPr>
        <w:pStyle w:val="Heading2"/>
      </w:pPr>
      <w:r>
        <w:t>Turn plan stop.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Inside leave statement rise serious.</w:t>
      </w:r>
    </w:p>
    <w:p>
      <w:r>
        <w:t>- Necessary guess standard later collection night also travel.</w:t>
      </w:r>
    </w:p>
    <w:p>
      <w:r>
        <w:t>- Final hair know according necessary low.</w:t>
      </w:r>
    </w:p>
    <w:p>
      <w:r>
        <w:t>[1] Monica Moore, Gomez Ltd (2007)</w:t>
      </w:r>
    </w:p>
    <w:p>
      <w:r>
        <w:t>Footnote: Hit affect near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