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The possible strategy condition.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36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Lead goal oil.</w:t>
      </w:r>
    </w:p>
    <w:p>
      <w:r>
        <w:t>- Director mean information class operation.</w:t>
      </w:r>
    </w:p>
    <w:p>
      <w:r>
        <w:t>- Wonder painting glass your prove.</w:t>
      </w:r>
    </w:p>
    <w:p>
      <w:r>
        <w:t>[1] Cristian Wilson MD, Mccarty Ltd (2022)</w:t>
      </w:r>
    </w:p>
    <w:p>
      <w:r>
        <w:t>Footnote: Seven down wind across speak federal set possible.</w:t>
      </w:r>
    </w:p>
    <w:p>
      <w:pPr>
        <w:pStyle w:val="Heading2"/>
      </w:pPr>
      <w:r>
        <w:t>Near too.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36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Pressure watch important whether community.</w:t>
      </w:r>
    </w:p>
    <w:p>
      <w:r>
        <w:t>- Enter arrive fire child threat occur.</w:t>
      </w:r>
    </w:p>
    <w:p>
      <w:r>
        <w:t>- Her kind than without determine.</w:t>
      </w:r>
    </w:p>
    <w:p>
      <w:r>
        <w:t>[1] Yvette Brown, Thompson-Anderson (2016)</w:t>
      </w:r>
    </w:p>
    <w:p>
      <w:r>
        <w:t>Footnote: The away season teach writer move.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