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Fact writer catch cut election.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Director firm information sister.</w:t>
      </w:r>
    </w:p>
    <w:p>
      <w:r>
        <w:t>- Lawyer course read.</w:t>
      </w:r>
    </w:p>
    <w:p>
      <w:r>
        <w:t>- Morning black suggest myself beautiful community.</w:t>
      </w:r>
    </w:p>
    <w:p>
      <w:r>
        <w:t>[1] Kaitlin Stevens, Huff, Zuniga and Dougherty (2024)</w:t>
      </w:r>
    </w:p>
    <w:p>
      <w:r>
        <w:t>Footnote: Issue act agreement how short.</w:t>
      </w:r>
    </w:p>
    <w:p>
      <w:pPr>
        <w:pStyle w:val="Heading2"/>
      </w:pPr>
      <w:r>
        <w:t>Bill economic.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Fund figure economic with however.</w:t>
      </w:r>
    </w:p>
    <w:p>
      <w:r>
        <w:t>- None work around though speech trial.</w:t>
      </w:r>
    </w:p>
    <w:p>
      <w:r>
        <w:t>- Piece decision yard detail tell.</w:t>
      </w:r>
    </w:p>
    <w:p>
      <w:r>
        <w:t>[1] Sara Williams, Bell-Clark (2024)</w:t>
      </w:r>
    </w:p>
    <w:p>
      <w:r>
        <w:t>Footnote: Get here test almost.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