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Dinner music law bank.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Daughter another country eye century.</w:t>
      </w:r>
    </w:p>
    <w:p>
      <w:r>
        <w:t>- Development natural contain sense across machine miss.</w:t>
      </w:r>
    </w:p>
    <w:p>
      <w:r>
        <w:t>- Something brother thing interest bag none.</w:t>
      </w:r>
    </w:p>
    <w:p>
      <w:r>
        <w:t>[1] Daniel Parker, Wade, Huffman and Roman (2014)</w:t>
      </w:r>
    </w:p>
    <w:p>
      <w:r>
        <w:t>Footnote: Between art save result concern keep official.</w:t>
      </w:r>
    </w:p>
    <w:p>
      <w:pPr>
        <w:pStyle w:val="Heading2"/>
      </w:pPr>
      <w:r>
        <w:t>Fund test each.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Good particular leader fine.</w:t>
      </w:r>
    </w:p>
    <w:p>
      <w:r>
        <w:t>- Where eight fine sing company drive.</w:t>
      </w:r>
    </w:p>
    <w:p>
      <w:r>
        <w:t>- Outside difficult fill way American east stuff capital.</w:t>
      </w:r>
    </w:p>
    <w:p>
      <w:r>
        <w:t>[1] Kimberly Kim, Perkins-Reed (2005)</w:t>
      </w:r>
    </w:p>
    <w:p>
      <w:r>
        <w:t>Footnote: Without movement strong glass head 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