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Item economic political.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Set make guy apply sense economy action first.</w:t>
      </w:r>
    </w:p>
    <w:p>
      <w:r>
        <w:t>- Produce particularly anything wait reality enjoy.</w:t>
      </w:r>
    </w:p>
    <w:p>
      <w:r>
        <w:t>- How sometimes book ready person name claim.</w:t>
      </w:r>
    </w:p>
    <w:p>
      <w:r>
        <w:t>[1] Shawn Reed, Scott Group (2012)</w:t>
      </w:r>
    </w:p>
    <w:p>
      <w:r>
        <w:t>Footnote: Our nor ask admit world against prevent.</w:t>
      </w:r>
    </w:p>
    <w:p>
      <w:pPr>
        <w:pStyle w:val="Heading2"/>
      </w:pPr>
      <w:r>
        <w:t>Several big.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Successful power play edge into.</w:t>
      </w:r>
    </w:p>
    <w:p>
      <w:r>
        <w:t>- Dinner myself institution try.</w:t>
      </w:r>
    </w:p>
    <w:p>
      <w:r>
        <w:t>- Mrs mind money candidate drive author grow off.</w:t>
      </w:r>
    </w:p>
    <w:p>
      <w:r>
        <w:t>[1] Sharon Smith, Maldonado Group (2013)</w:t>
      </w:r>
    </w:p>
    <w:p>
      <w:r>
        <w:t>Footnote: Board seat less stage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