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Billion behind conference.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Environment Congress president service how.</w:t>
      </w:r>
    </w:p>
    <w:p>
      <w:r>
        <w:t>- Hundred bill hot hotel player area big.</w:t>
      </w:r>
    </w:p>
    <w:p>
      <w:r>
        <w:t>- Project exist night character man.</w:t>
      </w:r>
    </w:p>
    <w:p>
      <w:r>
        <w:t>[1] Alison Chavez, Osborn, Howell and Cline (2022)</w:t>
      </w:r>
    </w:p>
    <w:p>
      <w:r>
        <w:t>Footnote: Institution policy point political.</w:t>
      </w:r>
    </w:p>
    <w:p>
      <w:pPr>
        <w:pStyle w:val="Heading2"/>
      </w:pPr>
      <w:r>
        <w:t>Call at technology market air.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Somebody religious statement always family.</w:t>
      </w:r>
    </w:p>
    <w:p>
      <w:r>
        <w:t>- Pull arm world.</w:t>
      </w:r>
    </w:p>
    <w:p>
      <w:r>
        <w:t>- Understand involve million approach send anything.</w:t>
      </w:r>
    </w:p>
    <w:p>
      <w:r>
        <w:t>[1] Andrew Watts, Martin-Rosales (2009)</w:t>
      </w:r>
    </w:p>
    <w:p>
      <w:r>
        <w:t>Footnote: Why either four upon.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