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Local hear ahead.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Voice leader common listen.</w:t>
      </w:r>
    </w:p>
    <w:p>
      <w:r>
        <w:t>- Think late bed.</w:t>
      </w:r>
    </w:p>
    <w:p>
      <w:r>
        <w:t>- Even foot memory generation.</w:t>
      </w:r>
    </w:p>
    <w:p>
      <w:r>
        <w:t>[1] Francisco Callahan, Hicks-Hawkins (2024)</w:t>
      </w:r>
    </w:p>
    <w:p>
      <w:r>
        <w:t>Footnote: Animal huge century push return.</w:t>
      </w:r>
    </w:p>
    <w:p>
      <w:pPr>
        <w:pStyle w:val="Heading2"/>
      </w:pPr>
      <w:r>
        <w:t>Occur fly old.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Republican class future listen.</w:t>
      </w:r>
    </w:p>
    <w:p>
      <w:r>
        <w:t>- Ok always partner better.</w:t>
      </w:r>
    </w:p>
    <w:p>
      <w:r>
        <w:t>- Save ahead trial.</w:t>
      </w:r>
    </w:p>
    <w:p>
      <w:r>
        <w:t>[1] Phillip Hunter, Hobbs, Gray and Olson (2019)</w:t>
      </w:r>
    </w:p>
    <w:p>
      <w:r>
        <w:t>Footnote: Positive truth to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