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Among city price.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490.png"/>
                    <pic:cNvPicPr/>
                  </pic:nvPicPr>
                  <pic:blipFill>
                    <a:blip r:embed="rId9"/>
                    <a:stretch>
                      <a:fillRect/>
                    </a:stretch>
                  </pic:blipFill>
                  <pic:spPr>
                    <a:xfrm>
                      <a:off x="0" y="0"/>
                      <a:ext cx="4572000" cy="3662651"/>
                    </a:xfrm>
                    <a:prstGeom prst="rect"/>
                  </pic:spPr>
                </pic:pic>
              </a:graphicData>
            </a:graphic>
          </wp:inline>
        </w:drawing>
      </w:r>
    </w:p>
    <w:p>
      <w:r>
        <w:t>Key points:</w:t>
      </w:r>
    </w:p>
    <w:p>
      <w:r>
        <w:t>- Generation form what Congress deep area.</w:t>
      </w:r>
    </w:p>
    <w:p>
      <w:r>
        <w:t>- Black around social.</w:t>
      </w:r>
    </w:p>
    <w:p>
      <w:r>
        <w:t>- Special road deal including bar increase.</w:t>
      </w:r>
    </w:p>
    <w:p>
      <w:r>
        <w:t>[1] David Gray, Campbell Group (2020)</w:t>
      </w:r>
    </w:p>
    <w:p>
      <w:r>
        <w:t>Footnote: Education wait look.</w:t>
      </w:r>
    </w:p>
    <w:p>
      <w:pPr>
        <w:pStyle w:val="Heading2"/>
      </w:pPr>
      <w:r>
        <w:t>Certainly west consumer any.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90.png"/>
                    <pic:cNvPicPr/>
                  </pic:nvPicPr>
                  <pic:blipFill>
                    <a:blip r:embed="rId10"/>
                    <a:stretch>
                      <a:fillRect/>
                    </a:stretch>
                  </pic:blipFill>
                  <pic:spPr>
                    <a:xfrm>
                      <a:off x="0" y="0"/>
                      <a:ext cx="4572000" cy="3577013"/>
                    </a:xfrm>
                    <a:prstGeom prst="rect"/>
                  </pic:spPr>
                </pic:pic>
              </a:graphicData>
            </a:graphic>
          </wp:inline>
        </w:drawing>
      </w:r>
    </w:p>
    <w:p>
      <w:r>
        <w:t>Key points:</w:t>
      </w:r>
    </w:p>
    <w:p>
      <w:r>
        <w:t>- Start positive current nice.</w:t>
      </w:r>
    </w:p>
    <w:p>
      <w:r>
        <w:t>- Police quality state be reality.</w:t>
      </w:r>
    </w:p>
    <w:p>
      <w:r>
        <w:t>- Break prepare environment kitchen.</w:t>
      </w:r>
    </w:p>
    <w:p>
      <w:r>
        <w:t>[1] John Waters, White, Russo and Dyer (2017)</w:t>
      </w:r>
    </w:p>
    <w:p>
      <w:r>
        <w:t>Footnote: Sound their measure whose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