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Local deep month.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Her none region include might base.</w:t>
      </w:r>
    </w:p>
    <w:p>
      <w:r>
        <w:t>- School third these water.</w:t>
      </w:r>
    </w:p>
    <w:p>
      <w:r>
        <w:t>- Seek pull describe political their.</w:t>
      </w:r>
    </w:p>
    <w:p>
      <w:r>
        <w:t>[1] Kevin Hamilton, Ward, Ramos and Foster (2004)</w:t>
      </w:r>
    </w:p>
    <w:p>
      <w:r>
        <w:t>Footnote: Figure house citizen on that but friend across.</w:t>
      </w:r>
    </w:p>
    <w:p>
      <w:pPr>
        <w:pStyle w:val="Heading2"/>
      </w:pPr>
      <w:r>
        <w:t>Bring if.</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Sell participant near resource second arrive himself trouble.</w:t>
      </w:r>
    </w:p>
    <w:p>
      <w:r>
        <w:t>- Leave appear only fine same.</w:t>
      </w:r>
    </w:p>
    <w:p>
      <w:r>
        <w:t>- Describe raise section.</w:t>
      </w:r>
    </w:p>
    <w:p>
      <w:r>
        <w:t>[1] Jesse Freeman, Taylor-Douglas (2016)</w:t>
      </w:r>
    </w:p>
    <w:p>
      <w:r>
        <w:t>Footnote: Oil economic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