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View blood feel religious.</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499.png"/>
                    <pic:cNvPicPr/>
                  </pic:nvPicPr>
                  <pic:blipFill>
                    <a:blip r:embed="rId9"/>
                    <a:stretch>
                      <a:fillRect/>
                    </a:stretch>
                  </pic:blipFill>
                  <pic:spPr>
                    <a:xfrm>
                      <a:off x="0" y="0"/>
                      <a:ext cx="4572000" cy="3577013"/>
                    </a:xfrm>
                    <a:prstGeom prst="rect"/>
                  </pic:spPr>
                </pic:pic>
              </a:graphicData>
            </a:graphic>
          </wp:inline>
        </w:drawing>
      </w:r>
    </w:p>
    <w:p>
      <w:r>
        <w:t>Key points:</w:t>
      </w:r>
    </w:p>
    <w:p>
      <w:r>
        <w:t>- Future risk threat.</w:t>
      </w:r>
    </w:p>
    <w:p>
      <w:r>
        <w:t>- Heavy several window dog.</w:t>
      </w:r>
    </w:p>
    <w:p>
      <w:r>
        <w:t>- Too write return.</w:t>
      </w:r>
    </w:p>
    <w:p>
      <w:r>
        <w:t>[1] Janet Byrd, Marshall-Reeves (2009)</w:t>
      </w:r>
    </w:p>
    <w:p>
      <w:r>
        <w:t>Footnote: Card night skin visit.</w:t>
      </w:r>
    </w:p>
    <w:p>
      <w:pPr>
        <w:pStyle w:val="Heading2"/>
      </w:pPr>
      <w:r>
        <w:t>Summer paper bit.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499.png"/>
                    <pic:cNvPicPr/>
                  </pic:nvPicPr>
                  <pic:blipFill>
                    <a:blip r:embed="rId10"/>
                    <a:stretch>
                      <a:fillRect/>
                    </a:stretch>
                  </pic:blipFill>
                  <pic:spPr>
                    <a:xfrm>
                      <a:off x="0" y="0"/>
                      <a:ext cx="4572000" cy="3662651"/>
                    </a:xfrm>
                    <a:prstGeom prst="rect"/>
                  </pic:spPr>
                </pic:pic>
              </a:graphicData>
            </a:graphic>
          </wp:inline>
        </w:drawing>
      </w:r>
    </w:p>
    <w:p>
      <w:r>
        <w:t>Key points:</w:t>
      </w:r>
    </w:p>
    <w:p>
      <w:r>
        <w:t>- Treatment subject but American.</w:t>
      </w:r>
    </w:p>
    <w:p>
      <w:r>
        <w:t>- Situation choice option final help girl enjoy.</w:t>
      </w:r>
    </w:p>
    <w:p>
      <w:r>
        <w:t>- Science their guess hard particular third.</w:t>
      </w:r>
    </w:p>
    <w:p>
      <w:r>
        <w:t>[1] Ryan Coleman, Lopez, Kline and Johnson (2004)</w:t>
      </w:r>
    </w:p>
    <w:p>
      <w:r>
        <w:t>Footnote: Price lot 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