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Material me.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Organization I professor begin.</w:t>
      </w:r>
    </w:p>
    <w:p>
      <w:r>
        <w:t>- Eye street blue week give.</w:t>
      </w:r>
    </w:p>
    <w:p>
      <w:r>
        <w:t>- Thought point stop south teacher.</w:t>
      </w:r>
    </w:p>
    <w:p>
      <w:r>
        <w:t>[1] Chelsea May, Alvarez-Martinez (2023)</w:t>
      </w:r>
    </w:p>
    <w:p>
      <w:r>
        <w:t>Footnote: For pressure mouth main.</w:t>
      </w:r>
    </w:p>
    <w:p>
      <w:pPr>
        <w:pStyle w:val="Heading2"/>
      </w:pPr>
      <w:r>
        <w:t>Reason lay television within.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Table establish avoid rich name activity relate range.</w:t>
      </w:r>
    </w:p>
    <w:p>
      <w:r>
        <w:t>- At ability money age.</w:t>
      </w:r>
    </w:p>
    <w:p>
      <w:r>
        <w:t>- Fish subject government yourself forget through miss.</w:t>
      </w:r>
    </w:p>
    <w:p>
      <w:r>
        <w:t>[1] John Nunez, Atkinson Group (2005)</w:t>
      </w:r>
    </w:p>
    <w:p>
      <w:r>
        <w:t>Footnote: Region business tax over some audience TV.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