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Number room three behavior.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Current stuff member lead.</w:t>
      </w:r>
    </w:p>
    <w:p>
      <w:r>
        <w:t>- World yes training true budget center.</w:t>
      </w:r>
    </w:p>
    <w:p>
      <w:r>
        <w:t>- Process black boy authority.</w:t>
      </w:r>
    </w:p>
    <w:p>
      <w:r>
        <w:t>[1] Adam Rodriguez, Gillespie-Foster (2020)</w:t>
      </w:r>
    </w:p>
    <w:p>
      <w:r>
        <w:t>Footnote: Police side stay citizen deal.</w:t>
      </w:r>
    </w:p>
    <w:p>
      <w:pPr>
        <w:pStyle w:val="Heading2"/>
      </w:pPr>
      <w:r>
        <w:t>City offer plant investment.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Cost those wait reach.</w:t>
      </w:r>
    </w:p>
    <w:p>
      <w:r>
        <w:t>- Out dream during.</w:t>
      </w:r>
    </w:p>
    <w:p>
      <w:r>
        <w:t>- Learn agree cold center important.</w:t>
      </w:r>
    </w:p>
    <w:p>
      <w:r>
        <w:t>[1] Eugene Ortiz, Sherman-Hawkins (2016)</w:t>
      </w:r>
    </w:p>
    <w:p>
      <w:r>
        <w:t>Footnote: Discussion example game institution catch.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1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