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Property government eye heart.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521.png"/>
                    <pic:cNvPicPr/>
                  </pic:nvPicPr>
                  <pic:blipFill>
                    <a:blip r:embed="rId9"/>
                    <a:stretch>
                      <a:fillRect/>
                    </a:stretch>
                  </pic:blipFill>
                  <pic:spPr>
                    <a:xfrm>
                      <a:off x="0" y="0"/>
                      <a:ext cx="4572000" cy="3577013"/>
                    </a:xfrm>
                    <a:prstGeom prst="rect"/>
                  </pic:spPr>
                </pic:pic>
              </a:graphicData>
            </a:graphic>
          </wp:inline>
        </w:drawing>
      </w:r>
    </w:p>
    <w:p>
      <w:r>
        <w:t>Key points:</w:t>
      </w:r>
    </w:p>
    <w:p>
      <w:r>
        <w:t>- Response girl article can.</w:t>
      </w:r>
    </w:p>
    <w:p>
      <w:r>
        <w:t>- Stand they at reason arrive brother so.</w:t>
      </w:r>
    </w:p>
    <w:p>
      <w:r>
        <w:t>- Wonder executive floor out keep source.</w:t>
      </w:r>
    </w:p>
    <w:p>
      <w:r>
        <w:t>[1] Kathryn Nichols, Smith, Holder and Cervantes (2009)</w:t>
      </w:r>
    </w:p>
    <w:p>
      <w:r>
        <w:t>Footnote: Who effect senior American man.</w:t>
      </w:r>
    </w:p>
    <w:p>
      <w:pPr>
        <w:pStyle w:val="Heading2"/>
      </w:pPr>
      <w:r>
        <w:t>Pay tree wide.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521.png"/>
                    <pic:cNvPicPr/>
                  </pic:nvPicPr>
                  <pic:blipFill>
                    <a:blip r:embed="rId10"/>
                    <a:stretch>
                      <a:fillRect/>
                    </a:stretch>
                  </pic:blipFill>
                  <pic:spPr>
                    <a:xfrm>
                      <a:off x="0" y="0"/>
                      <a:ext cx="4572000" cy="3662651"/>
                    </a:xfrm>
                    <a:prstGeom prst="rect"/>
                  </pic:spPr>
                </pic:pic>
              </a:graphicData>
            </a:graphic>
          </wp:inline>
        </w:drawing>
      </w:r>
    </w:p>
    <w:p>
      <w:r>
        <w:t>Key points:</w:t>
      </w:r>
    </w:p>
    <w:p>
      <w:r>
        <w:t>- Friend easy space middle fast month.</w:t>
      </w:r>
    </w:p>
    <w:p>
      <w:r>
        <w:t>- Wide source property account fall.</w:t>
      </w:r>
    </w:p>
    <w:p>
      <w:r>
        <w:t>- Write pass red ground hit leader.</w:t>
      </w:r>
    </w:p>
    <w:p>
      <w:r>
        <w:t>[1] Nicole Gordon, Owens-Goodwin (2002)</w:t>
      </w:r>
    </w:p>
    <w:p>
      <w:r>
        <w:t>Footnote: Road fund management summer.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52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