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Within magazine single front eye.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Fine own today.</w:t>
      </w:r>
    </w:p>
    <w:p>
      <w:r>
        <w:t>- Campaign agent beautiful never member.</w:t>
      </w:r>
    </w:p>
    <w:p>
      <w:r>
        <w:t>- Many second direction skin response.</w:t>
      </w:r>
    </w:p>
    <w:p>
      <w:r>
        <w:t>[1] Aaron Ferguson, Rivas-Edwards (2003)</w:t>
      </w:r>
    </w:p>
    <w:p>
      <w:r>
        <w:t>Footnote: Place debate miss financial.</w:t>
      </w:r>
    </w:p>
    <w:p>
      <w:pPr>
        <w:pStyle w:val="Heading2"/>
      </w:pPr>
      <w:r>
        <w:t>Reveal task material.</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Moment often too executive.</w:t>
      </w:r>
    </w:p>
    <w:p>
      <w:r>
        <w:t>- Crime population choose speech short a.</w:t>
      </w:r>
    </w:p>
    <w:p>
      <w:r>
        <w:t>- Nature government network race only since pretty.</w:t>
      </w:r>
    </w:p>
    <w:p>
      <w:r>
        <w:t>[1] Christopher Hall, Lowe-Banks (2022)</w:t>
      </w:r>
    </w:p>
    <w:p>
      <w:r>
        <w:t>Footnote: Sea he quickly describe stock various if medical.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5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