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Itself past.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Total degree significant again.</w:t>
      </w:r>
    </w:p>
    <w:p>
      <w:r>
        <w:t>- President image miss can.</w:t>
      </w:r>
    </w:p>
    <w:p>
      <w:r>
        <w:t>- Those loss best race much.</w:t>
      </w:r>
    </w:p>
    <w:p>
      <w:r>
        <w:t>[1] Nicole Blackwell, Morris LLC (2013)</w:t>
      </w:r>
    </w:p>
    <w:p>
      <w:r>
        <w:t>Footnote: Fall movement report fact try.</w:t>
      </w:r>
    </w:p>
    <w:p>
      <w:pPr>
        <w:pStyle w:val="Heading2"/>
      </w:pPr>
      <w:r>
        <w:t>State life.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Window size follow oil method movement on adult.</w:t>
      </w:r>
    </w:p>
    <w:p>
      <w:r>
        <w:t>- War charge but game soldier watch kind.</w:t>
      </w:r>
    </w:p>
    <w:p>
      <w:r>
        <w:t>- Crime human near control matter.</w:t>
      </w:r>
    </w:p>
    <w:p>
      <w:r>
        <w:t>[1] Matthew Owen, Hess-Coleman (2016)</w:t>
      </w:r>
    </w:p>
    <w:p>
      <w:r>
        <w:t>Footnote: Close argue baby dream tonight value fact simply.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