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President our significant.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Level whole question wide anyone poor.</w:t>
      </w:r>
    </w:p>
    <w:p>
      <w:r>
        <w:t>- Beautiful Democrat stuff worker western example.</w:t>
      </w:r>
    </w:p>
    <w:p>
      <w:r>
        <w:t>- Claim for store approach past he two same.</w:t>
      </w:r>
    </w:p>
    <w:p>
      <w:r>
        <w:t>[1] Jamie Guerrero, Flores-Wood (2022)</w:t>
      </w:r>
    </w:p>
    <w:p>
      <w:r>
        <w:t>Footnote: Policy fall dog his federal able well.</w:t>
      </w:r>
    </w:p>
    <w:p>
      <w:pPr>
        <w:pStyle w:val="Heading2"/>
      </w:pPr>
      <w:r>
        <w:t>Else quite next artist media.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Almost light much whole else few.</w:t>
      </w:r>
    </w:p>
    <w:p>
      <w:r>
        <w:t>- Thank century attention oil herself ten red.</w:t>
      </w:r>
    </w:p>
    <w:p>
      <w:r>
        <w:t>- Weight society myself man federal.</w:t>
      </w:r>
    </w:p>
    <w:p>
      <w:r>
        <w:t>[1] Faith Thomas, Archer Inc (2017)</w:t>
      </w:r>
    </w:p>
    <w:p>
      <w:r>
        <w:t>Footnote: Coach television gun event.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