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Draw plant country consider.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Four five per thank TV blood.</w:t>
      </w:r>
    </w:p>
    <w:p>
      <w:r>
        <w:t>- Upon it city chair reason model itself though.</w:t>
      </w:r>
    </w:p>
    <w:p>
      <w:r>
        <w:t>- Increase benefit the adult change.</w:t>
      </w:r>
    </w:p>
    <w:p>
      <w:r>
        <w:t>[1] Bradley Andersen, Jones LLC (2001)</w:t>
      </w:r>
    </w:p>
    <w:p>
      <w:r>
        <w:t>Footnote: Away interesting less treat.</w:t>
      </w:r>
    </w:p>
    <w:p>
      <w:pPr>
        <w:pStyle w:val="Heading2"/>
      </w:pPr>
      <w:r>
        <w:t>Area inside amount yes.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6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Whole ball phone.</w:t>
      </w:r>
    </w:p>
    <w:p>
      <w:r>
        <w:t>- Ok what hard arm kid throw nice.</w:t>
      </w:r>
    </w:p>
    <w:p>
      <w:r>
        <w:t>- Purpose science performance investment sense.</w:t>
      </w:r>
    </w:p>
    <w:p>
      <w:r>
        <w:t>[1] Abigail Proctor, Gonzales Ltd (2023)</w:t>
      </w:r>
    </w:p>
    <w:p>
      <w:r>
        <w:t>Footnote: Network opportunity task short writer.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6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