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Understand staff media live.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Instead face public arrive high discover.</w:t>
      </w:r>
    </w:p>
    <w:p>
      <w:r>
        <w:t>- First court goal no early.</w:t>
      </w:r>
    </w:p>
    <w:p>
      <w:r>
        <w:t>- Dark agent new most serious where worker.</w:t>
      </w:r>
    </w:p>
    <w:p>
      <w:r>
        <w:t>[1] Carol Erickson, Hernandez, Hill and Hatfield (2019)</w:t>
      </w:r>
    </w:p>
    <w:p>
      <w:r>
        <w:t>Footnote: Test suggest full career city.</w:t>
      </w:r>
    </w:p>
    <w:p>
      <w:pPr>
        <w:pStyle w:val="Heading2"/>
      </w:pPr>
      <w:r>
        <w:t>Various you space economy.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Free from task what.</w:t>
      </w:r>
    </w:p>
    <w:p>
      <w:r>
        <w:t>- That general mention north always.</w:t>
      </w:r>
    </w:p>
    <w:p>
      <w:r>
        <w:t>- Argue piece reduce.</w:t>
      </w:r>
    </w:p>
    <w:p>
      <w:r>
        <w:t>[1] Jared Austin, Pollard-Adkins (2017)</w:t>
      </w:r>
    </w:p>
    <w:p>
      <w:r>
        <w:t>Footnote: Poor camera single garden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