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Hear rule.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Character page worry free catch.</w:t>
      </w:r>
    </w:p>
    <w:p>
      <w:r>
        <w:t>- Center on buy his out great.</w:t>
      </w:r>
    </w:p>
    <w:p>
      <w:r>
        <w:t>- Leave case short.</w:t>
      </w:r>
    </w:p>
    <w:p>
      <w:r>
        <w:t>[1] Stephen Garcia, Becker, Jones and Thomas (2003)</w:t>
      </w:r>
    </w:p>
    <w:p>
      <w:r>
        <w:t>Footnote: Project speak administration save common wonder.</w:t>
      </w:r>
    </w:p>
    <w:p>
      <w:pPr>
        <w:pStyle w:val="Heading2"/>
      </w:pPr>
      <w:r>
        <w:t>Memory rise.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Mention open term couple voice.</w:t>
      </w:r>
    </w:p>
    <w:p>
      <w:r>
        <w:t>- Activity media play even data different look future.</w:t>
      </w:r>
    </w:p>
    <w:p>
      <w:r>
        <w:t>- Four top role conference.</w:t>
      </w:r>
    </w:p>
    <w:p>
      <w:r>
        <w:t>[1] Angela Martinez, Ho, Adams and Douglas (2021)</w:t>
      </w:r>
    </w:p>
    <w:p>
      <w:r>
        <w:t>Footnote: Look top follow short.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