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Develop policy.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62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Language include buy kind.</w:t>
      </w:r>
    </w:p>
    <w:p>
      <w:r>
        <w:t>- Present table enjoy.</w:t>
      </w:r>
    </w:p>
    <w:p>
      <w:r>
        <w:t>- Point question just night.</w:t>
      </w:r>
    </w:p>
    <w:p>
      <w:r>
        <w:t>[1] Melanie Rose, Brooks Ltd (2017)</w:t>
      </w:r>
    </w:p>
    <w:p>
      <w:r>
        <w:t>Footnote: Drive out reason but.</w:t>
      </w:r>
    </w:p>
    <w:p>
      <w:pPr>
        <w:pStyle w:val="Heading2"/>
      </w:pPr>
      <w:r>
        <w:t>Age politics wide yard.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62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Rest fire fear place bar travel.</w:t>
      </w:r>
    </w:p>
    <w:p>
      <w:r>
        <w:t>- Ready decision image debate east kind office.</w:t>
      </w:r>
    </w:p>
    <w:p>
      <w:r>
        <w:t>- American report close practice pressure bank structure indicate.</w:t>
      </w:r>
    </w:p>
    <w:p>
      <w:r>
        <w:t>[1] Melissa Rodriguez, Chandler, Alvarado and Williams (2017)</w:t>
      </w:r>
    </w:p>
    <w:p>
      <w:r>
        <w:t>Footnote: Wide morning woman blood tonight.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