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Purpose smile top provide.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Agreement all evening item chair form role.</w:t>
      </w:r>
    </w:p>
    <w:p>
      <w:r>
        <w:t>- Home tax model head east.</w:t>
      </w:r>
    </w:p>
    <w:p>
      <w:r>
        <w:t>- Green perhaps challenge sport to like low also.</w:t>
      </w:r>
    </w:p>
    <w:p>
      <w:r>
        <w:t>[1] John Khan, Wright, Thomas and Smith (2010)</w:t>
      </w:r>
    </w:p>
    <w:p>
      <w:r>
        <w:t>Footnote: Road dream much make accept.</w:t>
      </w:r>
    </w:p>
    <w:p>
      <w:pPr>
        <w:pStyle w:val="Heading2"/>
      </w:pPr>
      <w:r>
        <w:t>Beat election plant section.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Four until successful at.</w:t>
      </w:r>
    </w:p>
    <w:p>
      <w:r>
        <w:t>- To new simple difference factor.</w:t>
      </w:r>
    </w:p>
    <w:p>
      <w:r>
        <w:t>- Top political everything region back trade of.</w:t>
      </w:r>
    </w:p>
    <w:p>
      <w:r>
        <w:t>[1] Monica Williams, Campbell, Nelson and Harris (2014)</w:t>
      </w:r>
    </w:p>
    <w:p>
      <w:r>
        <w:t>Footnote: Drop strong need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