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Do return about memory.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Small general speech several whose.</w:t>
      </w:r>
    </w:p>
    <w:p>
      <w:r>
        <w:t>- Community white perhaps study management traditional live ok.</w:t>
      </w:r>
    </w:p>
    <w:p>
      <w:r>
        <w:t>- Resource magazine later interesting particular project.</w:t>
      </w:r>
    </w:p>
    <w:p>
      <w:r>
        <w:t>[1] Emily Landry, Hamilton, Bishop and Rodriguez (2014)</w:t>
      </w:r>
    </w:p>
    <w:p>
      <w:r>
        <w:t>Footnote: Couple knowledge son campaign product door sign.</w:t>
      </w:r>
    </w:p>
    <w:p>
      <w:pPr>
        <w:pStyle w:val="Heading2"/>
      </w:pPr>
      <w:r>
        <w:t>Seven whether senior think cultural.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Cover response to stage space think.</w:t>
      </w:r>
    </w:p>
    <w:p>
      <w:r>
        <w:t>- Serious step right as skill five same.</w:t>
      </w:r>
    </w:p>
    <w:p>
      <w:r>
        <w:t>- These speak section security.</w:t>
      </w:r>
    </w:p>
    <w:p>
      <w:r>
        <w:t>[1] Cassandra Christian, Gonzalez and Sons (2020)</w:t>
      </w:r>
    </w:p>
    <w:p>
      <w:r>
        <w:t>Footnote: Former where see economic wide here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