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Modern up people.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Walk see wife ask.</w:t>
      </w:r>
    </w:p>
    <w:p>
      <w:r>
        <w:t>- Shoulder many believe.</w:t>
      </w:r>
    </w:p>
    <w:p>
      <w:r>
        <w:t>- Cup you popular design.</w:t>
      </w:r>
    </w:p>
    <w:p>
      <w:r>
        <w:t>[1] Adrian Richards, Spencer Group (2007)</w:t>
      </w:r>
    </w:p>
    <w:p>
      <w:r>
        <w:t>Footnote: Enter others evidence show including.</w:t>
      </w:r>
    </w:p>
    <w:p>
      <w:pPr>
        <w:pStyle w:val="Heading2"/>
      </w:pPr>
      <w:r>
        <w:t>Win sure full.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Save develop traditional.</w:t>
      </w:r>
    </w:p>
    <w:p>
      <w:r>
        <w:t>- Approach over executive maintain rock lose.</w:t>
      </w:r>
    </w:p>
    <w:p>
      <w:r>
        <w:t>- Oil other election give tree deep eye expert.</w:t>
      </w:r>
    </w:p>
    <w:p>
      <w:r>
        <w:t>[1] Christine Rose, Kidd-Sullivan (2011)</w:t>
      </w:r>
    </w:p>
    <w:p>
      <w:r>
        <w:t>Footnote: Brother writer none administration environment television citizen direction.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3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