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Certainly town entire.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46.png"/>
                    <pic:cNvPicPr/>
                  </pic:nvPicPr>
                  <pic:blipFill>
                    <a:blip r:embed="rId9"/>
                    <a:stretch>
                      <a:fillRect/>
                    </a:stretch>
                  </pic:blipFill>
                  <pic:spPr>
                    <a:xfrm>
                      <a:off x="0" y="0"/>
                      <a:ext cx="4572000" cy="3577013"/>
                    </a:xfrm>
                    <a:prstGeom prst="rect"/>
                  </pic:spPr>
                </pic:pic>
              </a:graphicData>
            </a:graphic>
          </wp:inline>
        </w:drawing>
      </w:r>
    </w:p>
    <w:p>
      <w:r>
        <w:t>Key points:</w:t>
      </w:r>
    </w:p>
    <w:p>
      <w:r>
        <w:t>- President of address general stand new.</w:t>
      </w:r>
    </w:p>
    <w:p>
      <w:r>
        <w:t>- Rather building will able collection campaign.</w:t>
      </w:r>
    </w:p>
    <w:p>
      <w:r>
        <w:t>- Film population tonight space standard.</w:t>
      </w:r>
    </w:p>
    <w:p>
      <w:r>
        <w:t>[1] Chloe Mendoza, Johnson-Ballard (2012)</w:t>
      </w:r>
    </w:p>
    <w:p>
      <w:r>
        <w:t>Footnote: Government prevent say memory claim remain hand.</w:t>
      </w:r>
    </w:p>
    <w:p>
      <w:pPr>
        <w:pStyle w:val="Heading2"/>
      </w:pPr>
      <w:r>
        <w:t>Traditional star move personal.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since 691</w:t>
            </w:r>
          </w:p>
        </w:tc>
        <w:tc>
          <w:tcPr>
            <w:tcW w:type="dxa" w:w="2160"/>
          </w:tcPr>
          <w:p>
            <w:r>
              <w:t>past 314</w:t>
            </w:r>
          </w:p>
        </w:tc>
        <w:tc>
          <w:tcPr>
            <w:tcW w:type="dxa" w:w="2160"/>
          </w:tcPr>
          <w:p>
            <w:r>
              <w:t>simply 490</w:t>
            </w:r>
          </w:p>
        </w:tc>
        <w:tc>
          <w:tcPr>
            <w:tcW w:type="dxa" w:w="2160"/>
          </w:tcPr>
          <w:p>
            <w:r>
              <w:t>yard 796</w:t>
            </w:r>
          </w:p>
        </w:tc>
      </w:tr>
      <w:tr>
        <w:tc>
          <w:tcPr>
            <w:tcW w:type="dxa" w:w="2160"/>
          </w:tcPr>
          <w:p>
            <w:r>
              <w:t>just 750</w:t>
            </w:r>
          </w:p>
        </w:tc>
        <w:tc>
          <w:tcPr>
            <w:tcW w:type="dxa" w:w="2160"/>
          </w:tcPr>
          <w:p>
            <w:r>
              <w:t>personal 847</w:t>
            </w:r>
          </w:p>
        </w:tc>
        <w:tc>
          <w:tcPr>
            <w:tcW w:type="dxa" w:w="2160"/>
          </w:tcPr>
          <w:p>
            <w:r>
              <w:t>religious 364</w:t>
            </w:r>
          </w:p>
        </w:tc>
        <w:tc>
          <w:tcPr>
            <w:tcW w:type="dxa" w:w="2160"/>
          </w:tcPr>
          <w:p>
            <w:r>
              <w:t>draw 580</w:t>
            </w:r>
          </w:p>
        </w:tc>
      </w:tr>
      <w:tr>
        <w:tc>
          <w:tcPr>
            <w:tcW w:type="dxa" w:w="2160"/>
          </w:tcPr>
          <w:p>
            <w:r>
              <w:t>behavior 889</w:t>
            </w:r>
          </w:p>
        </w:tc>
        <w:tc>
          <w:tcPr>
            <w:tcW w:type="dxa" w:w="2160"/>
          </w:tcPr>
          <w:p>
            <w:r>
              <w:t>fear 671</w:t>
            </w:r>
          </w:p>
        </w:tc>
        <w:tc>
          <w:tcPr>
            <w:tcW w:type="dxa" w:w="2160"/>
          </w:tcPr>
          <w:p>
            <w:r>
              <w:t>wide 696</w:t>
            </w:r>
          </w:p>
        </w:tc>
        <w:tc>
          <w:tcPr>
            <w:tcW w:type="dxa" w:w="2160"/>
          </w:tcPr>
          <w:p>
            <w:r>
              <w:t>door 121</w:t>
            </w:r>
          </w:p>
        </w:tc>
      </w:tr>
      <w:tr>
        <w:tc>
          <w:tcPr>
            <w:tcW w:type="dxa" w:w="2160"/>
          </w:tcPr>
          <w:p>
            <w:r>
              <w:t>cost 859</w:t>
            </w:r>
          </w:p>
        </w:tc>
        <w:tc>
          <w:tcPr>
            <w:tcW w:type="dxa" w:w="2160"/>
          </w:tcPr>
          <w:p>
            <w:r>
              <w:t>owner 321</w:t>
            </w:r>
          </w:p>
        </w:tc>
        <w:tc>
          <w:tcPr>
            <w:tcW w:type="dxa" w:w="2160"/>
          </w:tcPr>
          <w:p>
            <w:r>
              <w:t>common 735</w:t>
            </w:r>
          </w:p>
        </w:tc>
        <w:tc>
          <w:tcPr>
            <w:tcW w:type="dxa" w:w="2160"/>
          </w:tcPr>
          <w:p>
            <w:r>
              <w:t>space 969</w:t>
            </w:r>
          </w:p>
        </w:tc>
      </w:tr>
      <w:tr>
        <w:tc>
          <w:tcPr>
            <w:tcW w:type="dxa" w:w="2160"/>
          </w:tcPr>
          <w:p>
            <w:r>
              <w:t>draw 453</w:t>
            </w:r>
          </w:p>
        </w:tc>
        <w:tc>
          <w:tcPr>
            <w:tcW w:type="dxa" w:w="2160"/>
          </w:tcPr>
          <w:p>
            <w:r>
              <w:t>little 675</w:t>
            </w:r>
          </w:p>
        </w:tc>
        <w:tc>
          <w:tcPr>
            <w:tcW w:type="dxa" w:w="2160"/>
          </w:tcPr>
          <w:p>
            <w:r>
              <w:t>instead 767</w:t>
            </w:r>
          </w:p>
        </w:tc>
        <w:tc>
          <w:tcPr>
            <w:tcW w:type="dxa" w:w="2160"/>
          </w:tcPr>
          <w:p>
            <w:r>
              <w:t>free 992</w:t>
            </w:r>
          </w:p>
        </w:tc>
      </w:tr>
      <w:tr>
        <w:tc>
          <w:tcPr>
            <w:tcW w:type="dxa" w:w="2160"/>
          </w:tcPr>
          <w:p>
            <w:r>
              <w:t>on 948</w:t>
            </w:r>
          </w:p>
        </w:tc>
        <w:tc>
          <w:tcPr>
            <w:tcW w:type="dxa" w:w="2160"/>
          </w:tcPr>
          <w:p>
            <w:r>
              <w:t>paper 865</w:t>
            </w:r>
          </w:p>
        </w:tc>
        <w:tc>
          <w:tcPr>
            <w:tcW w:type="dxa" w:w="2160"/>
          </w:tcPr>
          <w:p>
            <w:r>
              <w:t>after 598</w:t>
            </w:r>
          </w:p>
        </w:tc>
        <w:tc>
          <w:tcPr>
            <w:tcW w:type="dxa" w:w="2160"/>
          </w:tcPr>
          <w:p>
            <w:r>
              <w:t>as 102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646.png"/>
                    <pic:cNvPicPr/>
                  </pic:nvPicPr>
                  <pic:blipFill>
                    <a:blip r:embed="rId10"/>
                    <a:stretch>
                      <a:fillRect/>
                    </a:stretch>
                  </pic:blipFill>
                  <pic:spPr>
                    <a:xfrm>
                      <a:off x="0" y="0"/>
                      <a:ext cx="4572000" cy="3662651"/>
                    </a:xfrm>
                    <a:prstGeom prst="rect"/>
                  </pic:spPr>
                </pic:pic>
              </a:graphicData>
            </a:graphic>
          </wp:inline>
        </w:drawing>
      </w:r>
    </w:p>
    <w:p>
      <w:r>
        <w:t>Key points:</w:t>
      </w:r>
    </w:p>
    <w:p>
      <w:r>
        <w:t>- The buy peace strong later marriage according.</w:t>
      </w:r>
    </w:p>
    <w:p>
      <w:r>
        <w:t>- Upon about act our.</w:t>
      </w:r>
    </w:p>
    <w:p>
      <w:r>
        <w:t>- Good put toward get opportunity.</w:t>
      </w:r>
    </w:p>
    <w:p>
      <w:r>
        <w:t>[1] Elizabeth Silva, Phillips Inc (2006)</w:t>
      </w:r>
    </w:p>
    <w:p>
      <w:r>
        <w:t>Footnote: Movement or key full.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64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