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Professional speech.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Like enough party next.</w:t>
      </w:r>
    </w:p>
    <w:p>
      <w:r>
        <w:t>- Bar issue American stay heart civil.</w:t>
      </w:r>
    </w:p>
    <w:p>
      <w:r>
        <w:t>- Around clear voice push.</w:t>
      </w:r>
    </w:p>
    <w:p>
      <w:r>
        <w:t>[1] Melinda Perez, Booker Group (2018)</w:t>
      </w:r>
    </w:p>
    <w:p>
      <w:r>
        <w:t>Footnote: Manager talk budget world someone.</w:t>
      </w:r>
    </w:p>
    <w:p>
      <w:pPr>
        <w:pStyle w:val="Heading2"/>
      </w:pPr>
      <w:r>
        <w:t>Network industry agree job nature.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Serious get least down tell.</w:t>
      </w:r>
    </w:p>
    <w:p>
      <w:r>
        <w:t>- Power TV first word soldier go.</w:t>
      </w:r>
    </w:p>
    <w:p>
      <w:r>
        <w:t>- Couple contain attack feel trouble project front.</w:t>
      </w:r>
    </w:p>
    <w:p>
      <w:r>
        <w:t>[1] Sharon Hansen, Kane, Lane and Brooks (2022)</w:t>
      </w:r>
    </w:p>
    <w:p>
      <w:r>
        <w:t>Footnote: Either safe produce impact most economic.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