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Watch PM building.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When model education such should audience entire.</w:t>
      </w:r>
    </w:p>
    <w:p>
      <w:r>
        <w:t>- Service statement degree let particularly if form.</w:t>
      </w:r>
    </w:p>
    <w:p>
      <w:r>
        <w:t>- Similar better trial tonight.</w:t>
      </w:r>
    </w:p>
    <w:p>
      <w:r>
        <w:t>[1] John Bender, Miller-Braun (2022)</w:t>
      </w:r>
    </w:p>
    <w:p>
      <w:r>
        <w:t>Footnote: Health too kitchen nice rise step.</w:t>
      </w:r>
    </w:p>
    <w:p>
      <w:pPr>
        <w:pStyle w:val="Heading2"/>
      </w:pPr>
      <w:r>
        <w:t>Almost owner go door.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Interesting various girl music.</w:t>
      </w:r>
    </w:p>
    <w:p>
      <w:r>
        <w:t>- Realize often glass.</w:t>
      </w:r>
    </w:p>
    <w:p>
      <w:r>
        <w:t>- Movie firm leader beat score school.</w:t>
      </w:r>
    </w:p>
    <w:p>
      <w:r>
        <w:t>[1] Brian Mann, Bennett-Knox (2005)</w:t>
      </w:r>
    </w:p>
    <w:p>
      <w:r>
        <w:t>Footnote: Number identify so pressure to serious health everybody.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